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51" w:rsidRDefault="001C6151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C6151" w:rsidRPr="00975EA1" w:rsidRDefault="001C6151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1C6151" w:rsidRDefault="001C615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1C6151" w:rsidRDefault="001C615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C6151" w:rsidRPr="00975EA1" w:rsidRDefault="001C615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1C6151" w:rsidRPr="00975EA1" w:rsidRDefault="001C6151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C6151" w:rsidRPr="00975EA1" w:rsidRDefault="001C6151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28.01</w:t>
      </w:r>
      <w:r w:rsidRPr="00975EA1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975EA1">
        <w:rPr>
          <w:rFonts w:ascii="Arial" w:hAnsi="Arial" w:cs="Arial"/>
          <w:b/>
          <w:bCs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975EA1">
        <w:rPr>
          <w:rFonts w:ascii="Arial" w:hAnsi="Arial" w:cs="Arial"/>
          <w:b/>
          <w:bCs/>
          <w:sz w:val="32"/>
          <w:szCs w:val="32"/>
        </w:rPr>
        <w:t>-па</w:t>
      </w:r>
    </w:p>
    <w:p w:rsidR="001C6151" w:rsidRPr="00975EA1" w:rsidRDefault="001C6151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1C6151" w:rsidRDefault="001C6151" w:rsidP="003D1E2C">
      <w:pPr>
        <w:pStyle w:val="NoSpacing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</w:t>
      </w:r>
      <w:r>
        <w:rPr>
          <w:b/>
          <w:bCs/>
          <w:sz w:val="32"/>
          <w:szCs w:val="32"/>
        </w:rPr>
        <w:t>5.11.2020</w:t>
      </w:r>
      <w:r w:rsidRPr="00975EA1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 140</w:t>
      </w:r>
      <w:r w:rsidRPr="00975EA1">
        <w:rPr>
          <w:b/>
          <w:bCs/>
          <w:sz w:val="32"/>
          <w:szCs w:val="32"/>
        </w:rPr>
        <w:t>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975EA1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b/>
          <w:bCs/>
          <w:sz w:val="32"/>
          <w:szCs w:val="32"/>
        </w:rPr>
        <w:t xml:space="preserve">го района Курской области </w:t>
      </w:r>
    </w:p>
    <w:p w:rsidR="001C6151" w:rsidRPr="00975EA1" w:rsidRDefault="001C6151" w:rsidP="003D1E2C">
      <w:pPr>
        <w:pStyle w:val="NoSpacing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2021-2025</w:t>
      </w:r>
      <w:r w:rsidRPr="00975EA1">
        <w:rPr>
          <w:b/>
          <w:bCs/>
          <w:sz w:val="32"/>
          <w:szCs w:val="32"/>
        </w:rPr>
        <w:t xml:space="preserve"> годы»</w:t>
      </w:r>
    </w:p>
    <w:p w:rsidR="001C6151" w:rsidRPr="00975EA1" w:rsidRDefault="001C6151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1C6151" w:rsidRPr="00975EA1" w:rsidRDefault="001C6151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1C6151" w:rsidRPr="00975EA1" w:rsidRDefault="001C6151" w:rsidP="00491E7D">
      <w:pPr>
        <w:pStyle w:val="NoSpacing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sz w:val="28"/>
          <w:szCs w:val="28"/>
        </w:rPr>
        <w:t>го района Курской области на 2021</w:t>
      </w:r>
      <w:r w:rsidRPr="00975EA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 xml:space="preserve"> годы», утвержденную постановлением Администрации Высокского сельсовета Медвенского района от 0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1.2020 года № 140</w:t>
      </w:r>
      <w:r w:rsidRPr="00975EA1">
        <w:rPr>
          <w:sz w:val="28"/>
          <w:szCs w:val="28"/>
        </w:rPr>
        <w:t>-па следующие изменения:</w:t>
      </w:r>
    </w:p>
    <w:p w:rsidR="001C6151" w:rsidRPr="00975EA1" w:rsidRDefault="001C6151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975EA1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rFonts w:ascii="Arial" w:hAnsi="Arial" w:cs="Arial"/>
          <w:sz w:val="28"/>
          <w:szCs w:val="28"/>
        </w:rPr>
        <w:t>го района Курской области на 2021</w:t>
      </w:r>
      <w:r w:rsidRPr="00975EA1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годы» слова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1C6151" w:rsidRPr="00975EA1" w:rsidRDefault="001C6151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</w:t>
      </w:r>
    </w:p>
    <w:p w:rsidR="001C6151" w:rsidRPr="00975EA1" w:rsidRDefault="001C6151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</w:t>
      </w:r>
      <w:r>
        <w:rPr>
          <w:rFonts w:ascii="Arial" w:hAnsi="Arial" w:cs="Arial"/>
          <w:sz w:val="28"/>
          <w:szCs w:val="28"/>
        </w:rPr>
        <w:t>ом числе: местный бюджет – 0,00;</w:t>
      </w:r>
    </w:p>
    <w:p w:rsidR="001C6151" w:rsidRPr="00975EA1" w:rsidRDefault="001C6151" w:rsidP="00C9160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 xml:space="preserve">1726483,87 руб.» </w:t>
      </w:r>
      <w:r w:rsidRPr="00975EA1">
        <w:rPr>
          <w:rFonts w:ascii="Arial" w:hAnsi="Arial" w:cs="Arial"/>
          <w:sz w:val="28"/>
          <w:szCs w:val="28"/>
        </w:rPr>
        <w:t>заменить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1C6151" w:rsidRPr="00975EA1" w:rsidRDefault="001C6151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</w:t>
      </w:r>
    </w:p>
    <w:p w:rsidR="001C6151" w:rsidRPr="00975EA1" w:rsidRDefault="001C6151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1C6151" w:rsidRPr="00975EA1" w:rsidRDefault="001C6151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руб.».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975EA1">
        <w:rPr>
          <w:rFonts w:ascii="Arial" w:hAnsi="Arial" w:cs="Arial"/>
          <w:sz w:val="28"/>
          <w:szCs w:val="28"/>
        </w:rPr>
        <w:t>1.2. 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</w:t>
      </w:r>
      <w:r>
        <w:rPr>
          <w:rFonts w:ascii="Arial" w:hAnsi="Arial" w:cs="Arial"/>
          <w:sz w:val="28"/>
          <w:szCs w:val="28"/>
        </w:rPr>
        <w:t>о района Курской области на 2021-2025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207 052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рублей,</w:t>
      </w:r>
    </w:p>
    <w:p w:rsidR="001C6151" w:rsidRPr="00975EA1" w:rsidRDefault="001C6151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словами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2731099,89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556 552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75EA1">
        <w:rPr>
          <w:rFonts w:ascii="Arial" w:hAnsi="Arial" w:cs="Arial"/>
          <w:sz w:val="28"/>
          <w:szCs w:val="28"/>
        </w:rPr>
        <w:t xml:space="preserve"> 1.3. Раздел 8 « Обоснование объема финансовых ресурсов, необходимых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207 052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на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2731099,89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556 552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1C6151" w:rsidRPr="00975EA1" w:rsidRDefault="001C6151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1.5. Прилагаемые приложения №3,4 изложить в новой редакции.</w:t>
      </w:r>
    </w:p>
    <w:p w:rsidR="001C6151" w:rsidRPr="00975EA1" w:rsidRDefault="001C6151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1C6151" w:rsidRPr="00975EA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Pr="00975EA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Pr="00975EA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Pr="00975EA1" w:rsidRDefault="001C6151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1C6151" w:rsidRPr="00975EA1" w:rsidRDefault="001C6151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1C6151" w:rsidRDefault="001C6151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1C6151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3</w:t>
      </w: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к муниципальной программе</w:t>
      </w: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975EA1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1C615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615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1C6151" w:rsidRPr="00975EA1" w:rsidRDefault="001C6151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1C6151" w:rsidRPr="00975EA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Default="001C6151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6151" w:rsidRPr="00975EA1" w:rsidRDefault="001C6151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C6151" w:rsidRPr="00975EA1" w:rsidRDefault="001C6151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C6151" w:rsidRPr="00975EA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C6151" w:rsidRPr="00975EA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1710359,95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196687,94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1C6151" w:rsidRPr="00975EA1" w:rsidRDefault="001C6151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6151" w:rsidRPr="00975EA1" w:rsidRDefault="001C6151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4</w:t>
      </w:r>
    </w:p>
    <w:p w:rsidR="001C6151" w:rsidRPr="00975EA1" w:rsidRDefault="001C6151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 муниципальной программе</w:t>
      </w:r>
    </w:p>
    <w:p w:rsidR="001C6151" w:rsidRPr="00975EA1" w:rsidRDefault="001C6151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"Обеспечение доступным и комфортным жильем и</w:t>
      </w:r>
    </w:p>
    <w:p w:rsidR="001C6151" w:rsidRPr="00975EA1" w:rsidRDefault="001C6151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коммунальными услугами граждан Муниципального образования</w:t>
      </w:r>
    </w:p>
    <w:p w:rsidR="001C6151" w:rsidRPr="00975EA1" w:rsidRDefault="001C6151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«Высокский сельсовет» Медвенского района Курской области</w:t>
      </w:r>
    </w:p>
    <w:p w:rsidR="001C6151" w:rsidRDefault="001C6151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C6151" w:rsidRDefault="001C6151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C6151" w:rsidRPr="00975EA1" w:rsidRDefault="001C6151" w:rsidP="00975EA1">
      <w:pPr>
        <w:widowControl w:val="0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Par6061"/>
      <w:bookmarkEnd w:id="1"/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МЕСТНОГО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БЮДЖЕТОВ И ВНЕБЮДЖЕТНЫХ ИСТОЧНИКОВ НА РЕАЛИЗАЦИЮ ЦЕЛЕЙ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МУНИЦИПАЛЬНОЙПРОГРАММЫ</w:t>
      </w:r>
    </w:p>
    <w:p w:rsidR="001C6151" w:rsidRPr="00975EA1" w:rsidRDefault="001C6151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1C6151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Оце</w:t>
            </w:r>
            <w:r>
              <w:rPr>
                <w:rFonts w:ascii="Arial" w:hAnsi="Arial" w:cs="Arial"/>
                <w:sz w:val="24"/>
                <w:szCs w:val="24"/>
              </w:rPr>
              <w:t>нка расходов (</w:t>
            </w:r>
            <w:r w:rsidRPr="00975EA1">
              <w:rPr>
                <w:rFonts w:ascii="Arial" w:hAnsi="Arial" w:cs="Arial"/>
                <w:sz w:val="24"/>
                <w:szCs w:val="24"/>
              </w:rPr>
              <w:t>рублей), годы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26BAA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BAA">
              <w:rPr>
                <w:rFonts w:ascii="Arial" w:hAnsi="Arial" w:cs="Arial"/>
                <w:sz w:val="24"/>
                <w:szCs w:val="24"/>
              </w:rPr>
              <w:t>2731099,89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26BAA" w:rsidRDefault="001C6151" w:rsidP="00366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BAA">
              <w:rPr>
                <w:rFonts w:ascii="Arial" w:hAnsi="Arial" w:cs="Arial"/>
                <w:sz w:val="24"/>
                <w:szCs w:val="24"/>
              </w:rPr>
              <w:t>2731099,89</w:t>
            </w:r>
          </w:p>
        </w:tc>
      </w:tr>
    </w:tbl>
    <w:p w:rsidR="001C6151" w:rsidRDefault="001C6151" w:rsidP="00926BAA">
      <w:pPr>
        <w:widowControl w:val="0"/>
        <w:spacing w:after="0" w:line="240" w:lineRule="auto"/>
        <w:jc w:val="both"/>
        <w:rPr>
          <w:lang w:eastAsia="ar-SA"/>
        </w:rPr>
      </w:pPr>
    </w:p>
    <w:sectPr w:rsidR="001C6151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E578C"/>
    <w:rsid w:val="000F0DD7"/>
    <w:rsid w:val="00110026"/>
    <w:rsid w:val="00134595"/>
    <w:rsid w:val="00173719"/>
    <w:rsid w:val="00177116"/>
    <w:rsid w:val="00194BF6"/>
    <w:rsid w:val="001A2A40"/>
    <w:rsid w:val="001C560E"/>
    <w:rsid w:val="001C6151"/>
    <w:rsid w:val="001D11E3"/>
    <w:rsid w:val="001F0045"/>
    <w:rsid w:val="00207A14"/>
    <w:rsid w:val="002317E8"/>
    <w:rsid w:val="00240CB8"/>
    <w:rsid w:val="00245D1E"/>
    <w:rsid w:val="00255D96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D81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4D2D94"/>
    <w:rsid w:val="00522D51"/>
    <w:rsid w:val="00531E23"/>
    <w:rsid w:val="005422C3"/>
    <w:rsid w:val="005C476C"/>
    <w:rsid w:val="0060299F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56891"/>
    <w:rsid w:val="00867E41"/>
    <w:rsid w:val="008B29A3"/>
    <w:rsid w:val="008E0114"/>
    <w:rsid w:val="009220D6"/>
    <w:rsid w:val="00926BAA"/>
    <w:rsid w:val="009435E7"/>
    <w:rsid w:val="00952B73"/>
    <w:rsid w:val="00955555"/>
    <w:rsid w:val="00955E15"/>
    <w:rsid w:val="00975EA1"/>
    <w:rsid w:val="00987314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8169F"/>
    <w:rsid w:val="00F855B6"/>
    <w:rsid w:val="00F944CB"/>
    <w:rsid w:val="00FA4A7C"/>
    <w:rsid w:val="00FB4D30"/>
    <w:rsid w:val="00FB6FD0"/>
    <w:rsid w:val="00FC67AC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8</Pages>
  <Words>1125</Words>
  <Characters>6416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52</cp:revision>
  <cp:lastPrinted>2021-01-27T17:12:00Z</cp:lastPrinted>
  <dcterms:created xsi:type="dcterms:W3CDTF">2019-07-01T11:57:00Z</dcterms:created>
  <dcterms:modified xsi:type="dcterms:W3CDTF">2022-02-01T15:44:00Z</dcterms:modified>
</cp:coreProperties>
</file>