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75" w:rsidRPr="00024955" w:rsidRDefault="00B50075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B50075" w:rsidRPr="0020127A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B50075" w:rsidRDefault="00B5007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B50075" w:rsidRPr="00173719" w:rsidRDefault="00B50075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F41399">
        <w:rPr>
          <w:rFonts w:ascii="Times New Roman CYR" w:hAnsi="Times New Roman CYR" w:cs="Times New Roman CYR"/>
          <w:sz w:val="24"/>
          <w:szCs w:val="24"/>
        </w:rPr>
        <w:t>13</w:t>
      </w:r>
      <w:r>
        <w:rPr>
          <w:rFonts w:ascii="Times New Roman CYR" w:hAnsi="Times New Roman CYR" w:cs="Times New Roman CYR"/>
          <w:sz w:val="24"/>
          <w:szCs w:val="24"/>
        </w:rPr>
        <w:t>.01.2019 года                                     №</w:t>
      </w:r>
      <w:r w:rsidR="006532A2">
        <w:rPr>
          <w:rFonts w:ascii="Times New Roman CYR" w:hAnsi="Times New Roman CYR" w:cs="Times New Roman CYR"/>
          <w:sz w:val="24"/>
          <w:szCs w:val="24"/>
        </w:rPr>
        <w:t>33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B50075" w:rsidRPr="0020127A" w:rsidRDefault="00B50075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50075" w:rsidRPr="00832D39" w:rsidRDefault="00B5007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16.12.2019 года № 150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832D39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B50075" w:rsidRPr="00832D39" w:rsidRDefault="00B50075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:rsidR="00B50075" w:rsidRPr="00C91FD4" w:rsidRDefault="00B50075" w:rsidP="002F40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40EC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91FD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C91FD4">
        <w:rPr>
          <w:rFonts w:ascii="Times New Roman" w:hAnsi="Times New Roman" w:cs="Times New Roman"/>
          <w:kern w:val="28"/>
          <w:sz w:val="28"/>
          <w:szCs w:val="28"/>
        </w:rPr>
        <w:t>Администрация Высокского сельсовета Медвенского района Курской области</w:t>
      </w:r>
    </w:p>
    <w:p w:rsidR="00B50075" w:rsidRPr="00C91FD4" w:rsidRDefault="00B50075" w:rsidP="00E90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0075" w:rsidRPr="00C91FD4" w:rsidRDefault="00B50075" w:rsidP="00832D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 150-па</w:t>
      </w:r>
      <w:r w:rsidR="0020127A">
        <w:rPr>
          <w:rFonts w:ascii="Times New Roman" w:hAnsi="Times New Roman" w:cs="Times New Roman"/>
          <w:sz w:val="28"/>
          <w:szCs w:val="28"/>
        </w:rPr>
        <w:t xml:space="preserve">   </w:t>
      </w:r>
      <w:r w:rsidRPr="00C91F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1.1. В паспорте «Комплексное развитие сельских территорий Высокского сельсовета Медвенского района Курской области слова «Общий объем финансовых средств на реализацию мероприятий Программы за весь период из бюджетов всех уровней сост</w:t>
      </w:r>
      <w:r w:rsidR="007C2821">
        <w:rPr>
          <w:rFonts w:ascii="Times New Roman" w:hAnsi="Times New Roman" w:cs="Times New Roman"/>
          <w:sz w:val="28"/>
          <w:szCs w:val="28"/>
        </w:rPr>
        <w:t xml:space="preserve">авляет  </w:t>
      </w:r>
      <w:r w:rsidRPr="00C91FD4">
        <w:rPr>
          <w:rFonts w:ascii="Times New Roman" w:hAnsi="Times New Roman" w:cs="Times New Roman"/>
          <w:sz w:val="28"/>
          <w:szCs w:val="28"/>
        </w:rPr>
        <w:t xml:space="preserve">   18 640,0 тыс. рублей, в том числе по годам: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2020 год – 3 060,0 тыс. рублей;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5 580,00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5 000,0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2023 год – 5 000,0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2025 год – 0 рублей.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По подпрограмме «Организация и содержание прочих объектов благоустройства на территории Высокского сельсовета Медвенского района Курской области» объем финансовых средств из бюджетов всех уровней составляет 18 640,0 тыс. рублей, в том числе по годам: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2020 год – 3 060,0 тыс. рублей;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5 580,00 тыс. рублей;</w:t>
      </w:r>
    </w:p>
    <w:p w:rsidR="00B50075" w:rsidRPr="00C91FD4" w:rsidRDefault="00B50075" w:rsidP="00AF4FD7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5 000,0 тыс. рублей;</w:t>
      </w:r>
    </w:p>
    <w:p w:rsidR="00B50075" w:rsidRPr="00C91FD4" w:rsidRDefault="00B50075" w:rsidP="00AF4FD7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2023 год – 5 000,0 тыс. рублей;</w:t>
      </w:r>
    </w:p>
    <w:p w:rsidR="00B50075" w:rsidRPr="00C91FD4" w:rsidRDefault="00B50075" w:rsidP="00AF4FD7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2025 год – 0 рублей», </w:t>
      </w:r>
      <w:proofErr w:type="gramStart"/>
      <w:r w:rsidRPr="00C91FD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«Общий объем финансовых средств на реализацию мероприятий Программы за весь период из бюджетов всех уровней составляет     16 246,408 тыс. рублей, в том числе по годам:</w:t>
      </w:r>
    </w:p>
    <w:p w:rsidR="00B50075" w:rsidRPr="00C91FD4" w:rsidRDefault="00B50075" w:rsidP="00AF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B50075" w:rsidRPr="00C91FD4" w:rsidRDefault="00B50075" w:rsidP="00AF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B50075" w:rsidRPr="00C91FD4" w:rsidRDefault="00B50075" w:rsidP="00AF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местного бюджета 24,641</w:t>
      </w:r>
      <w:r w:rsidRPr="00C9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FD4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C91F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1FD4">
        <w:rPr>
          <w:rFonts w:ascii="Times New Roman" w:hAnsi="Times New Roman" w:cs="Times New Roman"/>
          <w:sz w:val="28"/>
          <w:szCs w:val="28"/>
        </w:rPr>
        <w:t>рублей,</w:t>
      </w:r>
    </w:p>
    <w:p w:rsidR="00B50075" w:rsidRPr="00C91FD4" w:rsidRDefault="00B50075" w:rsidP="00AF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рублей,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FD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1 000,0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1 000,0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2023 год – 10 000,0 тыс. рублей;</w:t>
      </w:r>
    </w:p>
    <w:p w:rsidR="00B50075" w:rsidRPr="00C91FD4" w:rsidRDefault="00B50075" w:rsidP="00AF4FD7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B50075" w:rsidRPr="00C91FD4" w:rsidRDefault="00B50075" w:rsidP="00AF4FD7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2025 год – 2 000,0 тыс. рублей.</w:t>
      </w:r>
    </w:p>
    <w:p w:rsidR="00B50075" w:rsidRPr="00C91FD4" w:rsidRDefault="00B50075" w:rsidP="009444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По подпрограмме «Организация и содержание прочих объектов благоустройства на территории Высокского сельсовета Медвенского района Курской области» объем финансовых средств из бюджетов всех уровней составляет 16 246,408 тыс. рублей, в том числе по годам: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в том числе: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местного бюджета 24,641</w:t>
      </w:r>
      <w:r w:rsidRPr="00C9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FD4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C91F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1FD4">
        <w:rPr>
          <w:rFonts w:ascii="Times New Roman" w:hAnsi="Times New Roman" w:cs="Times New Roman"/>
          <w:sz w:val="28"/>
          <w:szCs w:val="28"/>
        </w:rPr>
        <w:t>рублей,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B50075" w:rsidRPr="00C91FD4" w:rsidRDefault="00B50075" w:rsidP="00944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FD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B50075" w:rsidRPr="00C91FD4" w:rsidRDefault="00B50075" w:rsidP="009444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1 000,0 тыс. рублей;</w:t>
      </w:r>
    </w:p>
    <w:p w:rsidR="00B50075" w:rsidRPr="00C91FD4" w:rsidRDefault="00B50075" w:rsidP="009444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1 000,0 тыс. рублей;</w:t>
      </w:r>
    </w:p>
    <w:p w:rsidR="00B50075" w:rsidRPr="00C91FD4" w:rsidRDefault="00B50075" w:rsidP="009444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2023 год – 10 000,0 тыс. рублей;</w:t>
      </w:r>
    </w:p>
    <w:p w:rsidR="00B50075" w:rsidRPr="00C91FD4" w:rsidRDefault="00B50075" w:rsidP="009444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B50075" w:rsidRPr="00C91FD4" w:rsidRDefault="00B50075" w:rsidP="0094445A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2025 год – 2 000,0 тыс. рублей.</w:t>
      </w:r>
    </w:p>
    <w:p w:rsidR="00B50075" w:rsidRPr="00C91FD4" w:rsidRDefault="00B50075" w:rsidP="004D0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    1.2. В паспорте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Высокского сельсовета Медвенского района Курской области» на 2020 – 2025 гг. слова «объем финансовых средств из бюджетов всех уровней составляет 18 640,0 тыс. рублей, в том числе по годам: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2020 год – 3 060,0 тыс. рублей;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5 580,00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5 000,0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2023 год – 5 000,0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   2025 год – 0 рублей», </w:t>
      </w:r>
      <w:proofErr w:type="gramStart"/>
      <w:r w:rsidRPr="00C91FD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«объем финансовых средств из бюджетов всех уровней составляет 16 246,408 тыс. рублей, в том числе по годам:</w:t>
      </w:r>
    </w:p>
    <w:p w:rsidR="00B50075" w:rsidRPr="00C91FD4" w:rsidRDefault="00B50075" w:rsidP="004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B50075" w:rsidRPr="00C91FD4" w:rsidRDefault="00B50075" w:rsidP="004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в том числе:</w:t>
      </w:r>
    </w:p>
    <w:p w:rsidR="00B50075" w:rsidRPr="00C91FD4" w:rsidRDefault="00B50075" w:rsidP="004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местного бюджета 24,641 тыс.</w:t>
      </w:r>
      <w:r w:rsidRPr="00C9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FD4">
        <w:rPr>
          <w:rFonts w:ascii="Times New Roman" w:hAnsi="Times New Roman" w:cs="Times New Roman"/>
          <w:sz w:val="28"/>
          <w:szCs w:val="28"/>
        </w:rPr>
        <w:t>рублей,</w:t>
      </w:r>
    </w:p>
    <w:p w:rsidR="00B50075" w:rsidRPr="00C91FD4" w:rsidRDefault="00B50075" w:rsidP="004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B50075" w:rsidRPr="00C91FD4" w:rsidRDefault="00B50075" w:rsidP="004D0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FD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внебюджетные 49.281 тыс. рублей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2021 год – 1 000,0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2022 год – 1 000,0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lastRenderedPageBreak/>
        <w:t>2023 год – 10 000,0 тыс. рублей;</w:t>
      </w:r>
    </w:p>
    <w:p w:rsidR="00B50075" w:rsidRPr="00C91FD4" w:rsidRDefault="00B50075" w:rsidP="004D0C5A">
      <w:pPr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B50075" w:rsidRPr="00C91FD4" w:rsidRDefault="00B50075" w:rsidP="004D0C5A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2025 год – 2 000,0 тыс. рублей».</w:t>
      </w:r>
    </w:p>
    <w:p w:rsidR="00B50075" w:rsidRPr="00C91FD4" w:rsidRDefault="00B50075" w:rsidP="00842C0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   1.3. В разделе 3</w:t>
      </w:r>
      <w:r w:rsidRPr="00C91FD4">
        <w:rPr>
          <w:b/>
          <w:bCs/>
          <w:sz w:val="28"/>
          <w:szCs w:val="28"/>
        </w:rPr>
        <w:t xml:space="preserve">. </w:t>
      </w:r>
      <w:r w:rsidRPr="00C91FD4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рублей», </w:t>
      </w:r>
      <w:proofErr w:type="gramStart"/>
      <w:r w:rsidRPr="00C91FD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91FD4">
        <w:rPr>
          <w:rFonts w:ascii="Times New Roman" w:hAnsi="Times New Roman" w:cs="Times New Roman"/>
          <w:sz w:val="28"/>
          <w:szCs w:val="28"/>
        </w:rPr>
        <w:t xml:space="preserve"> «Общий объем финансовых средств из бюджетов всех уровней составляет 16 246,408 тыс. рублей».</w:t>
      </w:r>
    </w:p>
    <w:p w:rsidR="00B50075" w:rsidRPr="00C91FD4" w:rsidRDefault="00B50075" w:rsidP="003B7A59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             1.4. Прилагаемое </w:t>
      </w:r>
      <w:r w:rsidRPr="00C91FD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к муниципальной программе </w:t>
      </w:r>
      <w:r w:rsidRPr="00C91FD4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C9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FD4">
        <w:rPr>
          <w:rFonts w:ascii="Times New Roman" w:hAnsi="Times New Roman" w:cs="Times New Roman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 xml:space="preserve">   2.</w:t>
      </w:r>
      <w:r w:rsidRPr="00C91FD4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B50075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91FD4" w:rsidRDefault="00C91FD4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C91FD4" w:rsidRPr="00C91FD4" w:rsidRDefault="00C91FD4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B50075" w:rsidRPr="00C91FD4" w:rsidRDefault="00B50075" w:rsidP="0042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FD4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B50075" w:rsidRPr="00C91FD4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1FD4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А.Н. Харланов</w:t>
      </w:r>
    </w:p>
    <w:p w:rsidR="00B50075" w:rsidRPr="00C91FD4" w:rsidRDefault="00B50075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0075" w:rsidRPr="00C91FD4" w:rsidSect="00E904C5">
          <w:pgSz w:w="11906" w:h="16838"/>
          <w:pgMar w:top="1134" w:right="851" w:bottom="709" w:left="1531" w:header="709" w:footer="709" w:gutter="0"/>
          <w:cols w:space="708"/>
          <w:docGrid w:linePitch="360"/>
        </w:sectPr>
      </w:pPr>
    </w:p>
    <w:p w:rsidR="00B50075" w:rsidRPr="0042402E" w:rsidRDefault="00B50075" w:rsidP="0042402E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B50075" w:rsidRPr="0042402E" w:rsidRDefault="00B5007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2402E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Pr="0042402E">
        <w:rPr>
          <w:rFonts w:ascii="Times New Roman" w:hAnsi="Times New Roman" w:cs="Times New Roman"/>
          <w:sz w:val="24"/>
          <w:szCs w:val="24"/>
        </w:rPr>
        <w:t>«Комплексное развитие</w:t>
      </w:r>
    </w:p>
    <w:p w:rsidR="00B50075" w:rsidRPr="0042402E" w:rsidRDefault="00B5007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2402E">
        <w:rPr>
          <w:rFonts w:ascii="Times New Roman" w:hAnsi="Times New Roman" w:cs="Times New Roman"/>
          <w:sz w:val="24"/>
          <w:szCs w:val="24"/>
        </w:rPr>
        <w:t xml:space="preserve"> сельских территорий Высокского сельсовета</w:t>
      </w:r>
    </w:p>
    <w:p w:rsidR="00B50075" w:rsidRPr="0042402E" w:rsidRDefault="00B5007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области»</w:t>
      </w:r>
    </w:p>
    <w:p w:rsidR="00B50075" w:rsidRPr="0042402E" w:rsidRDefault="00B50075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75" w:rsidRPr="0042402E" w:rsidRDefault="00B50075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75" w:rsidRPr="0042402E" w:rsidRDefault="00B50075" w:rsidP="004240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B50075" w:rsidRPr="0042402E" w:rsidRDefault="00B50075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  <w:r w:rsidRPr="0042402E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«Комплексное развитие сельских территорий Высокского сельсовета </w:t>
      </w:r>
    </w:p>
    <w:p w:rsidR="00B50075" w:rsidRPr="0042402E" w:rsidRDefault="00B50075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02E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области»  2020 – 2025 гг.</w:t>
      </w:r>
    </w:p>
    <w:p w:rsidR="00B50075" w:rsidRPr="0042402E" w:rsidRDefault="00B50075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7" w:type="dxa"/>
        <w:tblInd w:w="2" w:type="dxa"/>
        <w:tblLayout w:type="fixed"/>
        <w:tblLook w:val="0000"/>
      </w:tblPr>
      <w:tblGrid>
        <w:gridCol w:w="568"/>
        <w:gridCol w:w="2693"/>
        <w:gridCol w:w="1843"/>
        <w:gridCol w:w="1556"/>
        <w:gridCol w:w="1180"/>
        <w:gridCol w:w="992"/>
        <w:gridCol w:w="1134"/>
        <w:gridCol w:w="1134"/>
        <w:gridCol w:w="1060"/>
        <w:gridCol w:w="992"/>
        <w:gridCol w:w="1985"/>
      </w:tblGrid>
      <w:tr w:rsidR="00B50075" w:rsidRPr="0042402E" w:rsidTr="00FD24F4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075" w:rsidRPr="0042402E" w:rsidRDefault="00B5007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50075" w:rsidRPr="0042402E" w:rsidRDefault="00B5007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B50075" w:rsidRPr="0042402E" w:rsidRDefault="00B50075" w:rsidP="0042402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B50075" w:rsidRPr="0042402E" w:rsidRDefault="00B5007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B50075" w:rsidRPr="0042402E" w:rsidTr="00FD24F4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75" w:rsidRPr="0042402E" w:rsidTr="00FD24F4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 в                 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. Высокое и 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 xml:space="preserve">Обустройство зоны отдыха  в   с. Высокое  и  деревне Спасское </w:t>
            </w:r>
            <w:r w:rsidRPr="0042402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всех уровней; внебюджетные 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2B2B">
              <w:rPr>
                <w:rFonts w:ascii="Times New Roman" w:hAnsi="Times New Roman"/>
                <w:sz w:val="24"/>
                <w:szCs w:val="24"/>
              </w:rPr>
              <w:t>Восстановление памятник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ысокое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д.Спасское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 xml:space="preserve">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Обустройство площадок накопления твердых комму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отходов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Высокое, д.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 xml:space="preserve"> 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402E">
              <w:rPr>
                <w:rFonts w:ascii="Times New Roman" w:hAnsi="Times New Roman"/>
                <w:sz w:val="24"/>
                <w:szCs w:val="24"/>
              </w:rPr>
              <w:t>д. Кондратьевка,                       д. Звягинцево,                            д. Константиновка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2402E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B50075" w:rsidRPr="0042402E" w:rsidRDefault="00B5007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0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02E">
              <w:rPr>
                <w:rFonts w:ascii="Times New Roman" w:hAnsi="Times New Roman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42402E" w:rsidTr="00FD24F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75" w:rsidRPr="0042402E" w:rsidTr="00FD24F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5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,408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ind w:left="-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</w:t>
            </w: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42402E" w:rsidRDefault="00B50075" w:rsidP="003F6A9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424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42402E" w:rsidRDefault="00B5007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0075" w:rsidRPr="0042402E" w:rsidRDefault="00B50075" w:rsidP="004D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0075" w:rsidRPr="0042402E" w:rsidSect="0042402E">
          <w:pgSz w:w="16838" w:h="11906" w:orient="landscape"/>
          <w:pgMar w:top="1531" w:right="1134" w:bottom="851" w:left="709" w:header="709" w:footer="709" w:gutter="0"/>
          <w:cols w:space="708"/>
          <w:docGrid w:linePitch="360"/>
        </w:sectPr>
      </w:pPr>
    </w:p>
    <w:p w:rsidR="00B50075" w:rsidRPr="00296D3C" w:rsidRDefault="00B50075" w:rsidP="00FD24F4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lang w:eastAsia="ar-SA"/>
        </w:rPr>
      </w:pPr>
    </w:p>
    <w:sectPr w:rsidR="00B50075" w:rsidRPr="00296D3C" w:rsidSect="00E904C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91A"/>
    <w:rsid w:val="00002B92"/>
    <w:rsid w:val="000132A4"/>
    <w:rsid w:val="00024955"/>
    <w:rsid w:val="00046906"/>
    <w:rsid w:val="000555A5"/>
    <w:rsid w:val="001713D8"/>
    <w:rsid w:val="00173719"/>
    <w:rsid w:val="001C560E"/>
    <w:rsid w:val="001D11E3"/>
    <w:rsid w:val="001E032D"/>
    <w:rsid w:val="001F0045"/>
    <w:rsid w:val="0020127A"/>
    <w:rsid w:val="00273AF6"/>
    <w:rsid w:val="00296D3C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55629"/>
    <w:rsid w:val="00374609"/>
    <w:rsid w:val="0039686A"/>
    <w:rsid w:val="003B7A59"/>
    <w:rsid w:val="003E7459"/>
    <w:rsid w:val="003F3977"/>
    <w:rsid w:val="003F6A9B"/>
    <w:rsid w:val="0042402E"/>
    <w:rsid w:val="004809A9"/>
    <w:rsid w:val="00494129"/>
    <w:rsid w:val="004D0C5A"/>
    <w:rsid w:val="00522D51"/>
    <w:rsid w:val="00531E23"/>
    <w:rsid w:val="00543E10"/>
    <w:rsid w:val="005F2B2B"/>
    <w:rsid w:val="006532A2"/>
    <w:rsid w:val="006A0B30"/>
    <w:rsid w:val="006F62CF"/>
    <w:rsid w:val="007417C9"/>
    <w:rsid w:val="007827D2"/>
    <w:rsid w:val="007A2D9C"/>
    <w:rsid w:val="007C2821"/>
    <w:rsid w:val="00832D39"/>
    <w:rsid w:val="00835425"/>
    <w:rsid w:val="00842C0A"/>
    <w:rsid w:val="00850D15"/>
    <w:rsid w:val="00881873"/>
    <w:rsid w:val="0094445A"/>
    <w:rsid w:val="009A2FD7"/>
    <w:rsid w:val="009C2C38"/>
    <w:rsid w:val="00A42F65"/>
    <w:rsid w:val="00A965C3"/>
    <w:rsid w:val="00AE7416"/>
    <w:rsid w:val="00AF4FD7"/>
    <w:rsid w:val="00B21E9F"/>
    <w:rsid w:val="00B37AC7"/>
    <w:rsid w:val="00B50075"/>
    <w:rsid w:val="00B57730"/>
    <w:rsid w:val="00B6039F"/>
    <w:rsid w:val="00B61B11"/>
    <w:rsid w:val="00BA3561"/>
    <w:rsid w:val="00BA7D83"/>
    <w:rsid w:val="00C10117"/>
    <w:rsid w:val="00C15BEB"/>
    <w:rsid w:val="00C21984"/>
    <w:rsid w:val="00C74187"/>
    <w:rsid w:val="00C83C68"/>
    <w:rsid w:val="00C91FD4"/>
    <w:rsid w:val="00CF0573"/>
    <w:rsid w:val="00D45CFF"/>
    <w:rsid w:val="00D67184"/>
    <w:rsid w:val="00D76F7D"/>
    <w:rsid w:val="00D917FE"/>
    <w:rsid w:val="00E13FA1"/>
    <w:rsid w:val="00E652B6"/>
    <w:rsid w:val="00E904C5"/>
    <w:rsid w:val="00EB3653"/>
    <w:rsid w:val="00F007A2"/>
    <w:rsid w:val="00F27F2A"/>
    <w:rsid w:val="00F37CE0"/>
    <w:rsid w:val="00F41399"/>
    <w:rsid w:val="00FD04E1"/>
    <w:rsid w:val="00FD24F4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41</cp:revision>
  <cp:lastPrinted>2020-01-17T08:51:00Z</cp:lastPrinted>
  <dcterms:created xsi:type="dcterms:W3CDTF">2019-07-01T11:57:00Z</dcterms:created>
  <dcterms:modified xsi:type="dcterms:W3CDTF">2020-01-17T09:10:00Z</dcterms:modified>
</cp:coreProperties>
</file>